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7C79" w14:textId="7F3DFF63" w:rsidR="00A64563" w:rsidRDefault="00EB1C5A" w:rsidP="00A64563">
      <w:pPr>
        <w:pStyle w:val="F2-zkladn"/>
        <w:tabs>
          <w:tab w:val="right" w:pos="9070"/>
        </w:tabs>
      </w:pPr>
      <w:r>
        <w:rPr>
          <w:b/>
          <w:sz w:val="28"/>
          <w:szCs w:val="28"/>
        </w:rPr>
        <w:t>TISKOVÁ ZPRÁVA</w:t>
      </w:r>
      <w:r w:rsidR="00A64563" w:rsidRPr="00A64563">
        <w:t xml:space="preserve"> </w:t>
      </w:r>
      <w:r w:rsidR="00A64563">
        <w:tab/>
        <w:t>Praha, 29. května 2019</w:t>
      </w:r>
    </w:p>
    <w:p w14:paraId="70944206" w14:textId="77777777" w:rsidR="00EB1C5A" w:rsidRPr="00E14EC2" w:rsidRDefault="00EB1C5A" w:rsidP="004321DB">
      <w:pPr>
        <w:pStyle w:val="F2-zkladn"/>
        <w:rPr>
          <w:b/>
          <w:sz w:val="28"/>
          <w:szCs w:val="28"/>
        </w:rPr>
      </w:pPr>
    </w:p>
    <w:p w14:paraId="4254DE60" w14:textId="77777777" w:rsidR="00D04011" w:rsidRDefault="008401A8" w:rsidP="00EB1C5A">
      <w:pPr>
        <w:tabs>
          <w:tab w:val="right" w:pos="9070"/>
        </w:tabs>
        <w:spacing w:before="36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Účastníci Běhu pro </w:t>
      </w:r>
      <w:proofErr w:type="spellStart"/>
      <w:r>
        <w:rPr>
          <w:rFonts w:ascii="Arial" w:hAnsi="Arial" w:cs="Arial"/>
          <w:b/>
          <w:sz w:val="28"/>
          <w:szCs w:val="28"/>
        </w:rPr>
        <w:t>Thomayerku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vybrali </w:t>
      </w:r>
      <w:r w:rsidR="00F13DE8" w:rsidRPr="00F13DE8">
        <w:rPr>
          <w:rFonts w:ascii="Arial" w:hAnsi="Arial" w:cs="Arial"/>
          <w:b/>
          <w:sz w:val="28"/>
          <w:szCs w:val="28"/>
        </w:rPr>
        <w:t>38</w:t>
      </w:r>
      <w:r w:rsidR="00F13DE8">
        <w:rPr>
          <w:rFonts w:ascii="Arial" w:hAnsi="Arial" w:cs="Arial"/>
          <w:b/>
          <w:sz w:val="28"/>
          <w:szCs w:val="28"/>
        </w:rPr>
        <w:t xml:space="preserve"> 800</w:t>
      </w:r>
      <w:r>
        <w:rPr>
          <w:rFonts w:ascii="Arial" w:hAnsi="Arial" w:cs="Arial"/>
          <w:b/>
          <w:sz w:val="28"/>
          <w:szCs w:val="28"/>
        </w:rPr>
        <w:t xml:space="preserve"> Kč pro Centrum podpůrné péče</w:t>
      </w:r>
    </w:p>
    <w:p w14:paraId="1FC4ACD4" w14:textId="50F9DD80" w:rsidR="00D04011" w:rsidRDefault="008401A8" w:rsidP="004321DB">
      <w:pPr>
        <w:pStyle w:val="F2-zkladn"/>
        <w:tabs>
          <w:tab w:val="right" w:pos="9070"/>
        </w:tabs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Čtvrtý ročník charitativního běhu – Běh pro </w:t>
      </w:r>
      <w:proofErr w:type="spellStart"/>
      <w:r>
        <w:rPr>
          <w:rFonts w:eastAsia="Calibri"/>
          <w:b/>
          <w:lang w:eastAsia="en-US"/>
        </w:rPr>
        <w:t>Thomayerku</w:t>
      </w:r>
      <w:proofErr w:type="spellEnd"/>
      <w:r>
        <w:rPr>
          <w:rFonts w:eastAsia="Calibri"/>
          <w:b/>
          <w:lang w:eastAsia="en-US"/>
        </w:rPr>
        <w:t xml:space="preserve"> – </w:t>
      </w:r>
      <w:r w:rsidR="006A10AA">
        <w:rPr>
          <w:rFonts w:eastAsia="Calibri"/>
          <w:b/>
          <w:lang w:eastAsia="en-US"/>
        </w:rPr>
        <w:t>v areálu Th</w:t>
      </w:r>
      <w:r w:rsidR="007B115D">
        <w:rPr>
          <w:rFonts w:eastAsia="Calibri"/>
          <w:b/>
          <w:lang w:eastAsia="en-US"/>
        </w:rPr>
        <w:t>omayerovy nemocnice přilákal 214</w:t>
      </w:r>
      <w:r w:rsidR="006A10AA">
        <w:rPr>
          <w:rFonts w:eastAsia="Calibri"/>
          <w:b/>
          <w:lang w:eastAsia="en-US"/>
        </w:rPr>
        <w:t xml:space="preserve"> běžců, kteří </w:t>
      </w:r>
      <w:r w:rsidR="00727EF8">
        <w:rPr>
          <w:rFonts w:eastAsia="Calibri"/>
          <w:b/>
          <w:lang w:eastAsia="en-US"/>
        </w:rPr>
        <w:t>přispěli</w:t>
      </w:r>
      <w:r w:rsidR="006A10AA">
        <w:rPr>
          <w:rFonts w:eastAsia="Calibri"/>
          <w:b/>
          <w:lang w:eastAsia="en-US"/>
        </w:rPr>
        <w:t xml:space="preserve"> </w:t>
      </w:r>
      <w:r w:rsidR="00F13DE8">
        <w:rPr>
          <w:rFonts w:eastAsia="Calibri"/>
          <w:b/>
          <w:lang w:eastAsia="en-US"/>
        </w:rPr>
        <w:t>38 800</w:t>
      </w:r>
      <w:r w:rsidR="006A10AA">
        <w:rPr>
          <w:rFonts w:eastAsia="Calibri"/>
          <w:b/>
          <w:lang w:eastAsia="en-US"/>
        </w:rPr>
        <w:t xml:space="preserve"> Kč</w:t>
      </w:r>
      <w:r w:rsidR="007B115D" w:rsidRPr="007B115D">
        <w:rPr>
          <w:rFonts w:eastAsia="Calibri"/>
          <w:b/>
          <w:lang w:eastAsia="en-US"/>
        </w:rPr>
        <w:t xml:space="preserve"> </w:t>
      </w:r>
      <w:r w:rsidR="007B115D">
        <w:rPr>
          <w:rFonts w:eastAsia="Calibri"/>
          <w:b/>
          <w:lang w:eastAsia="en-US"/>
        </w:rPr>
        <w:t xml:space="preserve">na projekty </w:t>
      </w:r>
      <w:hyperlink r:id="rId7" w:history="1">
        <w:r w:rsidR="007B115D" w:rsidRPr="00F13DE8">
          <w:rPr>
            <w:rStyle w:val="Hypertextovodkaz"/>
            <w:rFonts w:eastAsia="Calibri"/>
            <w:b/>
            <w:lang w:eastAsia="en-US"/>
          </w:rPr>
          <w:t>Centra podpůrné péče</w:t>
        </w:r>
      </w:hyperlink>
      <w:r w:rsidR="007B115D">
        <w:rPr>
          <w:rFonts w:eastAsia="Calibri"/>
          <w:b/>
          <w:lang w:eastAsia="en-US"/>
        </w:rPr>
        <w:t>.</w:t>
      </w:r>
      <w:r w:rsidR="006A10AA">
        <w:rPr>
          <w:rFonts w:eastAsia="Calibri"/>
          <w:b/>
          <w:lang w:eastAsia="en-US"/>
        </w:rPr>
        <w:t xml:space="preserve"> </w:t>
      </w:r>
      <w:r w:rsidR="00F155A9">
        <w:rPr>
          <w:rFonts w:eastAsia="Calibri"/>
          <w:b/>
          <w:lang w:eastAsia="en-US"/>
        </w:rPr>
        <w:t>Spoluo</w:t>
      </w:r>
      <w:r w:rsidR="00F13DE8">
        <w:rPr>
          <w:rFonts w:eastAsia="Calibri"/>
          <w:b/>
          <w:lang w:eastAsia="en-US"/>
        </w:rPr>
        <w:t>rganizátorem akce je poradenská společnost TPA a běhu se účastní jak jejich zaměstnanci a rodinní příslušníci, tak i zaměstnanci a rodinní příslušníci Thomayerovy nemocnice a Institutu klinické a experimentální medicíny (IKEM).</w:t>
      </w:r>
      <w:r w:rsidR="007B115D">
        <w:rPr>
          <w:rFonts w:eastAsia="Calibri"/>
          <w:b/>
          <w:lang w:eastAsia="en-US"/>
        </w:rPr>
        <w:t xml:space="preserve"> Letošní ročník odstartoval 21. května a novinkou byl</w:t>
      </w:r>
      <w:r w:rsidR="0003404F">
        <w:rPr>
          <w:rFonts w:eastAsia="Calibri"/>
          <w:b/>
          <w:lang w:eastAsia="en-US"/>
        </w:rPr>
        <w:t>a krátká trasa</w:t>
      </w:r>
      <w:r w:rsidR="007B115D">
        <w:rPr>
          <w:rFonts w:eastAsia="Calibri"/>
          <w:b/>
          <w:lang w:eastAsia="en-US"/>
        </w:rPr>
        <w:t xml:space="preserve"> </w:t>
      </w:r>
      <w:r w:rsidR="0003404F">
        <w:rPr>
          <w:rFonts w:eastAsia="Calibri"/>
          <w:b/>
          <w:lang w:eastAsia="en-US"/>
        </w:rPr>
        <w:t>pro děti.</w:t>
      </w:r>
    </w:p>
    <w:p w14:paraId="672A6659" w14:textId="77777777" w:rsidR="00F13DE8" w:rsidRDefault="00F13DE8" w:rsidP="003916F2">
      <w:pPr>
        <w:pStyle w:val="F2-zkladn"/>
        <w:tabs>
          <w:tab w:val="right" w:pos="9070"/>
        </w:tabs>
        <w:spacing w:before="0" w:line="240" w:lineRule="auto"/>
      </w:pPr>
    </w:p>
    <w:p w14:paraId="7F15B3DC" w14:textId="0F0B067B" w:rsidR="00784698" w:rsidRDefault="091D31CF" w:rsidP="003916F2">
      <w:pPr>
        <w:pStyle w:val="F2-zkladn"/>
        <w:tabs>
          <w:tab w:val="right" w:pos="9070"/>
        </w:tabs>
        <w:spacing w:before="0" w:line="240" w:lineRule="auto"/>
      </w:pPr>
      <w:r>
        <w:t xml:space="preserve">Trasa charitativního běhu, Běh pro </w:t>
      </w:r>
      <w:proofErr w:type="spellStart"/>
      <w:r>
        <w:t>Thomayerku</w:t>
      </w:r>
      <w:proofErr w:type="spellEnd"/>
      <w:r>
        <w:t xml:space="preserve">, vede areálem Thomayerovy nemocnice (TN) a běží se ve třech hlavních kategoriích: ženy/muži 8,4 km; ženy/muži 4,2 km a štafeta. Letos poprvé byla připravena i </w:t>
      </w:r>
      <w:r w:rsidR="0003404F">
        <w:t xml:space="preserve">krátká </w:t>
      </w:r>
      <w:r>
        <w:t>trasa pro děti do 6 let a pro d</w:t>
      </w:r>
      <w:r w:rsidR="0003404F">
        <w:t>ěti ve věkové kategorii 7–13</w:t>
      </w:r>
      <w:r>
        <w:t xml:space="preserve">. Výtěžek ze zápisného byl věnován </w:t>
      </w:r>
      <w:hyperlink r:id="rId8">
        <w:r w:rsidRPr="091D31CF">
          <w:rPr>
            <w:rStyle w:val="Hypertextovodkaz"/>
          </w:rPr>
          <w:t>Nadačnímu fondu centra podpůrné péče Thomayerovy nemocnice – Léčivka</w:t>
        </w:r>
      </w:hyperlink>
      <w:r>
        <w:t>, který pečuje o pacienty TN i jejich rodiny a také o zaměstnance nemocnice v rámci dobrovolnického programu.</w:t>
      </w:r>
    </w:p>
    <w:p w14:paraId="0A37501D" w14:textId="77777777" w:rsidR="00450EDC" w:rsidRDefault="00450EDC" w:rsidP="003916F2">
      <w:pPr>
        <w:pStyle w:val="F2-zkladn"/>
        <w:tabs>
          <w:tab w:val="right" w:pos="9070"/>
        </w:tabs>
        <w:spacing w:before="0" w:line="240" w:lineRule="auto"/>
      </w:pPr>
    </w:p>
    <w:p w14:paraId="1A2BC3F7" w14:textId="0DA8A6AB" w:rsidR="00450EDC" w:rsidRDefault="091D31CF" w:rsidP="003916F2">
      <w:pPr>
        <w:pStyle w:val="F2-zkladn"/>
        <w:tabs>
          <w:tab w:val="right" w:pos="9070"/>
        </w:tabs>
        <w:spacing w:before="0" w:line="240" w:lineRule="auto"/>
      </w:pPr>
      <w:r>
        <w:t>„</w:t>
      </w:r>
      <w:r w:rsidRPr="091D31CF">
        <w:rPr>
          <w:i/>
          <w:iCs/>
        </w:rPr>
        <w:t>Všichni z organizačního týmu jsme byli překvapeni a zároveň nesmírně potěšeni letošní hojnou účastí závodníků. Pomohli jsme přispět na dobrou věc a užili jsme si skvělé odpoledne. Pro tento ročník jsme před hlavním během zorganizovali krátký závod pro děti, protože v předchozích ročnících chodili na trať fandit. Dohromady se jich zúčastnilo kolem 20</w:t>
      </w:r>
      <w:r w:rsidR="00727EF8">
        <w:rPr>
          <w:i/>
          <w:iCs/>
        </w:rPr>
        <w:t xml:space="preserve"> a byly to nadšení běžci</w:t>
      </w:r>
      <w:r w:rsidR="00F155A9">
        <w:rPr>
          <w:i/>
          <w:iCs/>
        </w:rPr>
        <w:t>. Chtěl bych poděkovat všem, kteří se podíleli na organizaci, odvedli opravdu skvělou práci,</w:t>
      </w:r>
      <w:r>
        <w:t>“ doplňuje k charitativnímu běhu Jiří Hlaváč, partner TPA.</w:t>
      </w:r>
      <w:bookmarkStart w:id="0" w:name="_GoBack"/>
      <w:bookmarkEnd w:id="0"/>
    </w:p>
    <w:p w14:paraId="2573A162" w14:textId="77777777" w:rsidR="007B115D" w:rsidRDefault="00E56A13" w:rsidP="003916F2">
      <w:pPr>
        <w:pStyle w:val="F2-zkladn"/>
        <w:tabs>
          <w:tab w:val="right" w:pos="9070"/>
        </w:tabs>
        <w:spacing w:before="0" w:line="240" w:lineRule="auto"/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2AA36219" wp14:editId="07777777">
            <wp:simplePos x="0" y="0"/>
            <wp:positionH relativeFrom="column">
              <wp:posOffset>-4445</wp:posOffset>
            </wp:positionH>
            <wp:positionV relativeFrom="paragraph">
              <wp:posOffset>150495</wp:posOffset>
            </wp:positionV>
            <wp:extent cx="2257425" cy="1668145"/>
            <wp:effectExtent l="0" t="0" r="0" b="0"/>
            <wp:wrapTight wrapText="bothSides">
              <wp:wrapPolygon edited="0">
                <wp:start x="0" y="0"/>
                <wp:lineTo x="0" y="21460"/>
                <wp:lineTo x="21509" y="21460"/>
                <wp:lineTo x="21509" y="0"/>
                <wp:lineTo x="0" y="0"/>
              </wp:wrapPolygon>
            </wp:wrapTight>
            <wp:docPr id="5" name="obrázek 2" descr="TPA_Beh pro Thomayerku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_Beh pro Thomayerku_z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AB6C7B" w14:textId="77777777" w:rsidR="007B115D" w:rsidRDefault="007B115D" w:rsidP="003916F2">
      <w:pPr>
        <w:pStyle w:val="F2-zkladn"/>
        <w:tabs>
          <w:tab w:val="right" w:pos="9070"/>
        </w:tabs>
        <w:spacing w:before="0" w:line="240" w:lineRule="auto"/>
      </w:pPr>
    </w:p>
    <w:p w14:paraId="02EB378F" w14:textId="77777777" w:rsidR="007B115D" w:rsidRDefault="007B115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A05A809" w14:textId="77777777" w:rsidR="00D04011" w:rsidRDefault="00D04011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A39BBE3" w14:textId="77777777" w:rsidR="00784698" w:rsidRDefault="00784698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B73A104" w14:textId="77777777" w:rsidR="008042E4" w:rsidRPr="008042E4" w:rsidRDefault="008042E4" w:rsidP="003916F2">
      <w:pPr>
        <w:pStyle w:val="F2-zkladn"/>
        <w:tabs>
          <w:tab w:val="right" w:pos="9070"/>
        </w:tabs>
        <w:spacing w:before="0" w:line="240" w:lineRule="auto"/>
      </w:pPr>
      <w:r w:rsidRPr="008042E4">
        <w:t xml:space="preserve">Odstartování charitativního běhu v areálu Thomayerovy nemocnice – Běh pro </w:t>
      </w:r>
      <w:proofErr w:type="spellStart"/>
      <w:r w:rsidRPr="008042E4">
        <w:t>Thomayerku</w:t>
      </w:r>
      <w:proofErr w:type="spellEnd"/>
    </w:p>
    <w:p w14:paraId="41C8F396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2A3D3EC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D0B940D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E27B00A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0061E4C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4EAFD9C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70A6AAF1" w14:textId="77777777" w:rsidR="008042E4" w:rsidRDefault="00E56A13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D1C0930" wp14:editId="07777777">
            <wp:simplePos x="0" y="0"/>
            <wp:positionH relativeFrom="column">
              <wp:posOffset>-4445</wp:posOffset>
            </wp:positionH>
            <wp:positionV relativeFrom="paragraph">
              <wp:posOffset>33020</wp:posOffset>
            </wp:positionV>
            <wp:extent cx="2266950" cy="1695450"/>
            <wp:effectExtent l="0" t="0" r="0" b="0"/>
            <wp:wrapTight wrapText="bothSides">
              <wp:wrapPolygon edited="0">
                <wp:start x="0" y="0"/>
                <wp:lineTo x="0" y="21357"/>
                <wp:lineTo x="21418" y="21357"/>
                <wp:lineTo x="21418" y="0"/>
                <wp:lineTo x="0" y="0"/>
              </wp:wrapPolygon>
            </wp:wrapTight>
            <wp:docPr id="2" name="obrázek 3" descr="TPA_uvodni slovo JH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PA_uvodni slovo JH_z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94D5A5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DEEC669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2BBA63A" w14:textId="77777777" w:rsidR="008042E4" w:rsidRPr="00561E7D" w:rsidRDefault="00561E7D" w:rsidP="003916F2">
      <w:pPr>
        <w:pStyle w:val="F2-zkladn"/>
        <w:tabs>
          <w:tab w:val="right" w:pos="9070"/>
        </w:tabs>
        <w:spacing w:before="0" w:line="240" w:lineRule="auto"/>
      </w:pPr>
      <w:r w:rsidRPr="00561E7D">
        <w:t xml:space="preserve">Úvodní slovo Jiřího Hlaváče, partnera TPA, zástupce organizátora akce, </w:t>
      </w:r>
      <w:r>
        <w:t>poradenské</w:t>
      </w:r>
      <w:r w:rsidRPr="00561E7D">
        <w:t xml:space="preserve"> společnost</w:t>
      </w:r>
      <w:r>
        <w:t>i</w:t>
      </w:r>
      <w:r w:rsidRPr="00561E7D">
        <w:t xml:space="preserve"> TPA</w:t>
      </w:r>
    </w:p>
    <w:p w14:paraId="3656B9AB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5FB0818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49F31CB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53128261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2486C05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101652C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4B99056E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1299C43A" w14:textId="77777777" w:rsidR="008042E4" w:rsidRDefault="008042E4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556D1FA" w14:textId="77777777" w:rsidR="008042E4" w:rsidRDefault="00E56A13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 wp14:anchorId="0612C9E6" wp14:editId="07777777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105025" cy="1581150"/>
            <wp:effectExtent l="0" t="0" r="0" b="0"/>
            <wp:wrapTight wrapText="bothSides">
              <wp:wrapPolygon edited="0">
                <wp:start x="0" y="0"/>
                <wp:lineTo x="0" y="21340"/>
                <wp:lineTo x="21502" y="21340"/>
                <wp:lineTo x="21502" y="0"/>
                <wp:lineTo x="0" y="0"/>
              </wp:wrapPolygon>
            </wp:wrapTight>
            <wp:docPr id="1" name="obrázek 4" descr="TPA_bezecky tym TPA_z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PA_bezecky tym TPA_z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BEF00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461D779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CF2D8B6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30F04BA" w14:textId="77777777" w:rsidR="00561E7D" w:rsidRPr="00561E7D" w:rsidRDefault="00561E7D" w:rsidP="003916F2">
      <w:pPr>
        <w:pStyle w:val="F2-zkladn"/>
        <w:tabs>
          <w:tab w:val="right" w:pos="9070"/>
        </w:tabs>
        <w:spacing w:before="0" w:line="240" w:lineRule="auto"/>
      </w:pPr>
      <w:r w:rsidRPr="00561E7D">
        <w:t>Běžecký tým TPA</w:t>
      </w:r>
    </w:p>
    <w:p w14:paraId="0FB78278" w14:textId="77777777" w:rsidR="00561E7D" w:rsidRPr="00561E7D" w:rsidRDefault="00561E7D" w:rsidP="003916F2">
      <w:pPr>
        <w:pStyle w:val="F2-zkladn"/>
        <w:tabs>
          <w:tab w:val="right" w:pos="9070"/>
        </w:tabs>
        <w:spacing w:before="0" w:line="240" w:lineRule="auto"/>
      </w:pPr>
    </w:p>
    <w:p w14:paraId="1FC39945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562CB0E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34CE0A41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2EBF3C5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6D98A12B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2946DB82" w14:textId="77777777" w:rsidR="00561E7D" w:rsidRDefault="00561E7D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14:paraId="06793AEB" w14:textId="77777777" w:rsidR="00EB1C5A" w:rsidRDefault="00EB1C5A" w:rsidP="003916F2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1A0CB6">
        <w:rPr>
          <w:b/>
        </w:rPr>
        <w:t>Pro více informací kontaktujte:</w:t>
      </w:r>
    </w:p>
    <w:p w14:paraId="7AEDE952" w14:textId="77777777" w:rsidR="00EB1C5A" w:rsidRPr="003916F2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Marcela Štefcová"/>
        </w:smartTagPr>
        <w:r w:rsidRPr="003916F2">
          <w:rPr>
            <w:rFonts w:ascii="Arial" w:hAnsi="Arial" w:cs="Arial"/>
            <w:sz w:val="20"/>
            <w:szCs w:val="20"/>
          </w:rPr>
          <w:t xml:space="preserve">Marcela </w:t>
        </w:r>
        <w:proofErr w:type="spellStart"/>
        <w:r w:rsidRPr="003916F2">
          <w:rPr>
            <w:rFonts w:ascii="Arial" w:hAnsi="Arial" w:cs="Arial"/>
            <w:sz w:val="20"/>
            <w:szCs w:val="20"/>
          </w:rPr>
          <w:t>Štefcová</w:t>
        </w:r>
      </w:smartTag>
      <w:proofErr w:type="spellEnd"/>
    </w:p>
    <w:p w14:paraId="7735FC45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14:paraId="41F18834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14:paraId="5F4B273C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14:paraId="786C9EB2" w14:textId="77777777" w:rsidR="00EB1C5A" w:rsidRPr="00AF63E5" w:rsidRDefault="00EB1C5A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>: + 420 731 613 669</w:t>
      </w:r>
    </w:p>
    <w:p w14:paraId="54FFD8EF" w14:textId="77777777" w:rsidR="00EB1C5A" w:rsidRPr="00AF63E5" w:rsidRDefault="003901C2" w:rsidP="005A2DC0">
      <w:pPr>
        <w:spacing w:after="0" w:line="240" w:lineRule="auto"/>
        <w:rPr>
          <w:rFonts w:ascii="Arial" w:hAnsi="Arial" w:cs="Arial"/>
          <w:sz w:val="20"/>
          <w:szCs w:val="20"/>
        </w:rPr>
      </w:pPr>
      <w:hyperlink w:tooltip="blocked::http://www.crestcom.cz&#10;http://www.crestcom.cz/" w:history="1">
        <w:r w:rsidR="00EB1C5A"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www.crestcom.cz</w:t>
        </w:r>
      </w:hyperlink>
    </w:p>
    <w:p w14:paraId="659E78E7" w14:textId="77777777" w:rsidR="00316D20" w:rsidRDefault="00EB1C5A" w:rsidP="00316D20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  <w:szCs w:val="20"/>
        </w:rPr>
      </w:pPr>
      <w:r w:rsidRPr="00AF63E5">
        <w:rPr>
          <w:rFonts w:ascii="Arial" w:hAnsi="Arial" w:cs="Arial"/>
          <w:color w:val="000000"/>
          <w:sz w:val="20"/>
          <w:szCs w:val="20"/>
        </w:rPr>
        <w:t xml:space="preserve">e-mail: </w:t>
      </w:r>
      <w:hyperlink r:id="rId12" w:history="1">
        <w:r w:rsidRPr="00AF63E5">
          <w:rPr>
            <w:rStyle w:val="Hypertextovodkaz"/>
            <w:rFonts w:ascii="Arial" w:hAnsi="Arial" w:cs="Arial"/>
            <w:color w:val="990033"/>
            <w:sz w:val="20"/>
            <w:szCs w:val="20"/>
          </w:rPr>
          <w:t>marcela.stefcova@crestcom.cz</w:t>
        </w:r>
      </w:hyperlink>
    </w:p>
    <w:p w14:paraId="237F3693" w14:textId="77777777" w:rsidR="005A2DC0" w:rsidRPr="00316D20" w:rsidRDefault="00EB1C5A" w:rsidP="00316D2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A0CB6">
        <w:rPr>
          <w:b/>
        </w:rPr>
        <w:t>Informace pro editory:</w:t>
      </w:r>
    </w:p>
    <w:p w14:paraId="5997CC1D" w14:textId="77777777" w:rsidR="005A2DC0" w:rsidRPr="001A0CB6" w:rsidRDefault="005A2DC0" w:rsidP="005A2DC0">
      <w:pPr>
        <w:pStyle w:val="F2-zkladn"/>
        <w:spacing w:before="0" w:line="240" w:lineRule="auto"/>
        <w:rPr>
          <w:b/>
        </w:rPr>
      </w:pPr>
    </w:p>
    <w:p w14:paraId="314A2241" w14:textId="77777777" w:rsidR="00EB1C5A" w:rsidRPr="003E1363" w:rsidRDefault="00EB1C5A" w:rsidP="005A2DC0">
      <w:pPr>
        <w:pStyle w:val="F2-zkladn"/>
        <w:spacing w:before="0" w:line="240" w:lineRule="auto"/>
      </w:pPr>
      <w:r w:rsidRPr="00316C9E">
        <w:t xml:space="preserve">Skupina </w:t>
      </w:r>
      <w:r w:rsidRPr="001A0CB6">
        <w:rPr>
          <w:b/>
        </w:rPr>
        <w:t xml:space="preserve">TPA </w:t>
      </w:r>
      <w:r>
        <w:rPr>
          <w:b/>
        </w:rPr>
        <w:t>Group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smartTag w:uri="urn:schemas-microsoft-com:office:smarttags" w:element="metricconverter">
        <w:smartTagPr>
          <w:attr w:name="ProductID" w:val="1993 a"/>
        </w:smartTagPr>
        <w:r w:rsidRPr="00F32BD2">
          <w:t>1993</w:t>
        </w:r>
        <w:r w:rsidRPr="00316C9E">
          <w:t xml:space="preserve"> a</w:t>
        </w:r>
      </w:smartTag>
      <w:r w:rsidRPr="00316C9E">
        <w:t xml:space="preserve"> působí celkem v</w:t>
      </w:r>
      <w:r>
        <w:t xml:space="preserve"> jedenácti </w:t>
      </w:r>
      <w:r w:rsidRPr="00316C9E">
        <w:t xml:space="preserve">zemích střední a </w:t>
      </w:r>
      <w:r>
        <w:t>jiho</w:t>
      </w:r>
      <w:r w:rsidRPr="00316C9E">
        <w:t>východní Evropy. Poskytuje služby zejména z oblasti daňového poradenství a auditu</w:t>
      </w:r>
      <w:r>
        <w:t>.</w:t>
      </w:r>
      <w:r w:rsidRPr="00316C9E">
        <w:t xml:space="preserve">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r:id="rId13" w:history="1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</w:t>
      </w:r>
      <w:r w:rsidR="00316D20">
        <w:br/>
      </w:r>
      <w:r w:rsidRPr="00316D20">
        <w:t xml:space="preserve">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r:id="rId14" w:history="1">
        <w:proofErr w:type="spellStart"/>
        <w:r w:rsidR="00433B9A">
          <w:rPr>
            <w:rStyle w:val="Hypertextovodkaz"/>
            <w:b/>
          </w:rPr>
          <w:t>Baker</w:t>
        </w:r>
        <w:proofErr w:type="spellEnd"/>
        <w:r w:rsidR="00433B9A">
          <w:rPr>
            <w:rStyle w:val="Hypertextovodkaz"/>
            <w:b/>
          </w:rPr>
          <w:t xml:space="preserve"> </w:t>
        </w:r>
        <w:proofErr w:type="spellStart"/>
        <w:r w:rsidR="00433B9A"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patří do první desítky celosvětových poradenských sítí. </w:t>
      </w:r>
    </w:p>
    <w:p w14:paraId="110FFD37" w14:textId="77777777" w:rsidR="001272D9" w:rsidRDefault="001272D9"/>
    <w:sectPr w:rsidR="001272D9" w:rsidSect="00316D20">
      <w:headerReference w:type="default" r:id="rId15"/>
      <w:pgSz w:w="11906" w:h="16838"/>
      <w:pgMar w:top="1417" w:right="1417" w:bottom="1417" w:left="1417" w:header="1644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98B33BD" w16cid:durableId="356E25F5"/>
  <w16cid:commentId w16cid:paraId="5027E12D" w16cid:durableId="7230A4F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ED0C23" w14:textId="77777777" w:rsidR="003901C2" w:rsidRDefault="003901C2" w:rsidP="00087B0F">
      <w:pPr>
        <w:spacing w:after="0" w:line="240" w:lineRule="auto"/>
      </w:pPr>
      <w:r>
        <w:separator/>
      </w:r>
    </w:p>
  </w:endnote>
  <w:endnote w:type="continuationSeparator" w:id="0">
    <w:p w14:paraId="5614A1BA" w14:textId="77777777" w:rsidR="003901C2" w:rsidRDefault="003901C2" w:rsidP="0008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FA2F8" w14:textId="77777777" w:rsidR="003901C2" w:rsidRDefault="003901C2" w:rsidP="00087B0F">
      <w:pPr>
        <w:spacing w:after="0" w:line="240" w:lineRule="auto"/>
      </w:pPr>
      <w:r>
        <w:separator/>
      </w:r>
    </w:p>
  </w:footnote>
  <w:footnote w:type="continuationSeparator" w:id="0">
    <w:p w14:paraId="1550BD04" w14:textId="77777777" w:rsidR="003901C2" w:rsidRDefault="003901C2" w:rsidP="00087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638C" w14:textId="77777777" w:rsidR="00704800" w:rsidRDefault="00E56A1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3A74413" wp14:editId="07777777">
          <wp:simplePos x="0" y="0"/>
          <wp:positionH relativeFrom="column">
            <wp:posOffset>-23495</wp:posOffset>
          </wp:positionH>
          <wp:positionV relativeFrom="paragraph">
            <wp:posOffset>-680720</wp:posOffset>
          </wp:positionV>
          <wp:extent cx="2038350" cy="790575"/>
          <wp:effectExtent l="0" t="0" r="0" b="0"/>
          <wp:wrapTight wrapText="bothSides">
            <wp:wrapPolygon edited="0">
              <wp:start x="0" y="0"/>
              <wp:lineTo x="0" y="21340"/>
              <wp:lineTo x="21398" y="21340"/>
              <wp:lineTo x="21398" y="0"/>
              <wp:lineTo x="0" y="0"/>
            </wp:wrapPolygon>
          </wp:wrapTight>
          <wp:docPr id="4" name="Obrázek 2" descr="C:\Users\petr.sulek\Desktop\Běh pro TN, 21.5.19\Logo běh pro T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C:\Users\petr.sulek\Desktop\Běh pro TN, 21.5.19\Logo běh pro T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AF7AFE3" wp14:editId="07777777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 descr="TPA_Logo_combi_Green on 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PA_Logo_combi_Green on wh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0F"/>
    <w:rsid w:val="0003404F"/>
    <w:rsid w:val="000474F2"/>
    <w:rsid w:val="0005087E"/>
    <w:rsid w:val="00087B0F"/>
    <w:rsid w:val="000A2944"/>
    <w:rsid w:val="000B1F52"/>
    <w:rsid w:val="000F648D"/>
    <w:rsid w:val="001272D9"/>
    <w:rsid w:val="001833EC"/>
    <w:rsid w:val="001F387C"/>
    <w:rsid w:val="0027105E"/>
    <w:rsid w:val="002948D0"/>
    <w:rsid w:val="002A7D37"/>
    <w:rsid w:val="002F565C"/>
    <w:rsid w:val="003143B9"/>
    <w:rsid w:val="00316D20"/>
    <w:rsid w:val="00381597"/>
    <w:rsid w:val="00385385"/>
    <w:rsid w:val="003901C2"/>
    <w:rsid w:val="003916F2"/>
    <w:rsid w:val="003B5AE8"/>
    <w:rsid w:val="004010C0"/>
    <w:rsid w:val="004321DB"/>
    <w:rsid w:val="00433B9A"/>
    <w:rsid w:val="0044174C"/>
    <w:rsid w:val="00450EDC"/>
    <w:rsid w:val="00474216"/>
    <w:rsid w:val="00494A82"/>
    <w:rsid w:val="0051646C"/>
    <w:rsid w:val="0053615C"/>
    <w:rsid w:val="00561E7D"/>
    <w:rsid w:val="00590F8E"/>
    <w:rsid w:val="005A2DC0"/>
    <w:rsid w:val="00643BFA"/>
    <w:rsid w:val="00677F43"/>
    <w:rsid w:val="006A10AA"/>
    <w:rsid w:val="006A65B5"/>
    <w:rsid w:val="006D4B45"/>
    <w:rsid w:val="00704800"/>
    <w:rsid w:val="00727EF8"/>
    <w:rsid w:val="00735B2F"/>
    <w:rsid w:val="00784698"/>
    <w:rsid w:val="00792360"/>
    <w:rsid w:val="007B115D"/>
    <w:rsid w:val="007B5B26"/>
    <w:rsid w:val="007C65E0"/>
    <w:rsid w:val="007D4CFC"/>
    <w:rsid w:val="007E1A19"/>
    <w:rsid w:val="008042E4"/>
    <w:rsid w:val="008401A8"/>
    <w:rsid w:val="008E0CBB"/>
    <w:rsid w:val="00911D3B"/>
    <w:rsid w:val="0099767A"/>
    <w:rsid w:val="00A64563"/>
    <w:rsid w:val="00A71FE0"/>
    <w:rsid w:val="00A72BD8"/>
    <w:rsid w:val="00AD6570"/>
    <w:rsid w:val="00AF63E5"/>
    <w:rsid w:val="00B02851"/>
    <w:rsid w:val="00BB2F4F"/>
    <w:rsid w:val="00BC4A3D"/>
    <w:rsid w:val="00BD7911"/>
    <w:rsid w:val="00C43F8F"/>
    <w:rsid w:val="00CB3F2E"/>
    <w:rsid w:val="00D01576"/>
    <w:rsid w:val="00D04011"/>
    <w:rsid w:val="00D26944"/>
    <w:rsid w:val="00D4284D"/>
    <w:rsid w:val="00D67270"/>
    <w:rsid w:val="00D72C84"/>
    <w:rsid w:val="00DA18DA"/>
    <w:rsid w:val="00DB6D1B"/>
    <w:rsid w:val="00DF7E3A"/>
    <w:rsid w:val="00E56A13"/>
    <w:rsid w:val="00EA436F"/>
    <w:rsid w:val="00EB1C5A"/>
    <w:rsid w:val="00EE0EC5"/>
    <w:rsid w:val="00F13DE8"/>
    <w:rsid w:val="00F155A9"/>
    <w:rsid w:val="00F32BD2"/>
    <w:rsid w:val="00FE255D"/>
    <w:rsid w:val="091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39F325E"/>
  <w15:chartTrackingRefBased/>
  <w15:docId w15:val="{45BB2DB0-634A-4F9E-85B4-A1EEA4D2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customStyle="1" w:styleId="F2-zkladn">
    <w:name w:val="F2 - základní"/>
    <w:link w:val="F2-zkladnCharChar"/>
    <w:rsid w:val="00EB1C5A"/>
    <w:pPr>
      <w:spacing w:before="240" w:line="300" w:lineRule="exact"/>
      <w:jc w:val="both"/>
    </w:pPr>
    <w:rPr>
      <w:rFonts w:ascii="Arial" w:eastAsia="Times New Roman" w:hAnsi="Arial" w:cs="Arial"/>
      <w:lang w:eastAsia="cs-CZ"/>
    </w:rPr>
  </w:style>
  <w:style w:type="character" w:styleId="Hypertextovodkaz">
    <w:name w:val="Hyperlink"/>
    <w:semiHidden/>
    <w:rsid w:val="00EB1C5A"/>
    <w:rPr>
      <w:color w:val="0000FF"/>
      <w:u w:val="single"/>
    </w:rPr>
  </w:style>
  <w:style w:type="character" w:customStyle="1" w:styleId="F2-zkladnCharChar">
    <w:name w:val="F2 - základní Char Char"/>
    <w:link w:val="F2-zkladn"/>
    <w:rsid w:val="00EB1C5A"/>
    <w:rPr>
      <w:rFonts w:ascii="Arial" w:eastAsia="Times New Roman" w:hAnsi="Arial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4A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civka.org/" TargetMode="External"/><Relationship Id="rId13" Type="http://schemas.openxmlformats.org/officeDocument/2006/relationships/hyperlink" Target="http://www.bakertillyinternational.com/web/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tn.cz/centrum-podpurne-pece-51/" TargetMode="External"/><Relationship Id="rId12" Type="http://schemas.openxmlformats.org/officeDocument/2006/relationships/hyperlink" Target="mailto:marcela.stefcova@crestcom.cz" TargetMode="External"/><Relationship Id="rId17" Type="http://schemas.openxmlformats.org/officeDocument/2006/relationships/theme" Target="theme/theme1.xml"/><Relationship Id="Rd0ba5befcc954311" Type="http://schemas.microsoft.com/office/2016/09/relationships/commentsIds" Target="commentsIds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://www.bakertilly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69131-D6C9-4192-8DED-17177BD8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453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Pavla Linhartová</cp:lastModifiedBy>
  <cp:revision>5</cp:revision>
  <cp:lastPrinted>2016-08-25T19:42:00Z</cp:lastPrinted>
  <dcterms:created xsi:type="dcterms:W3CDTF">2019-05-27T13:51:00Z</dcterms:created>
  <dcterms:modified xsi:type="dcterms:W3CDTF">2019-05-28T09:12:00Z</dcterms:modified>
</cp:coreProperties>
</file>